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ED1" w:rsidRDefault="00C17ED1" w:rsidP="00C17ED1">
      <w:pPr>
        <w:autoSpaceDE w:val="0"/>
        <w:autoSpaceDN w:val="0"/>
        <w:adjustRightInd w:val="0"/>
        <w:spacing w:line="240" w:lineRule="auto"/>
        <w:jc w:val="center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2710180</wp:posOffset>
                </wp:positionH>
                <wp:positionV relativeFrom="paragraph">
                  <wp:posOffset>-213995</wp:posOffset>
                </wp:positionV>
                <wp:extent cx="361950" cy="25146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2514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ED1" w:rsidRDefault="00C17ED1" w:rsidP="00C17ED1">
                            <w:pPr>
                              <w:jc w:val="center"/>
                            </w:pPr>
                            <w:r w:rsidRPr="00C7448F">
                              <w:rPr>
                                <w:rFonts w:hint="eastAsia"/>
                              </w:rPr>
                              <w:t>„</w:t>
                            </w:r>
                            <w:r w:rsidRPr="00C7448F">
                              <w:t>Ekonomija, seminarski rad</w:t>
                            </w:r>
                            <w:r w:rsidRPr="00C7448F">
                              <w:rPr>
                                <w:rFonts w:hint="eastAsia"/>
                              </w:rPr>
                              <w:t>“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13.4pt;margin-top:-16.85pt;width:28.5pt;height:19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" fillcolor="white [3201]" strokecolor="white [3212]" strokeweight=".5pt">
                <v:textbox style="layout-flow:vertical;mso-layout-flow-alt:bottom-to-top">
                  <w:txbxContent>
                    <w:p w:rsidR="00C17ED1" w:rsidRDefault="00C17ED1" w:rsidP="00C17ED1">
                      <w:pPr>
                        <w:jc w:val="center"/>
                      </w:pPr>
                      <w:r w:rsidRPr="00C7448F">
                        <w:rPr>
                          <w:rFonts w:hint="eastAsia"/>
                        </w:rPr>
                        <w:t>„</w:t>
                      </w:r>
                      <w:r w:rsidRPr="00C7448F">
                        <w:t>Ekonomija, seminarski rad</w:t>
                      </w:r>
                      <w:r w:rsidRPr="00C7448F">
                        <w:rPr>
                          <w:rFonts w:hint="eastAsi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</w:p>
    <w:p w:rsidR="00C17ED1" w:rsidRDefault="00C17ED1" w:rsidP="00C7448F">
      <w:pPr>
        <w:autoSpaceDE w:val="0"/>
        <w:autoSpaceDN w:val="0"/>
        <w:adjustRightInd w:val="0"/>
        <w:spacing w:line="240" w:lineRule="auto"/>
        <w:jc w:val="left"/>
      </w:pPr>
    </w:p>
    <w:p w:rsidR="002E4497" w:rsidRDefault="002E4497" w:rsidP="00AC6416"/>
    <w:p w:rsidR="00C17ED1" w:rsidRDefault="00C17ED1" w:rsidP="00AC6416"/>
    <w:p w:rsidR="00C17ED1" w:rsidRPr="00C17ED1" w:rsidRDefault="00C17ED1" w:rsidP="00C17ED1"/>
    <w:p w:rsidR="00C17ED1" w:rsidRPr="00C17ED1" w:rsidRDefault="00C17ED1" w:rsidP="00C17ED1"/>
    <w:p w:rsidR="00C17ED1" w:rsidRPr="00C17ED1" w:rsidRDefault="00C17ED1" w:rsidP="00C17ED1"/>
    <w:p w:rsidR="00C17ED1" w:rsidRPr="00C17ED1" w:rsidRDefault="00C17ED1" w:rsidP="00C17ED1"/>
    <w:p w:rsidR="00C17ED1" w:rsidRPr="00C17ED1" w:rsidRDefault="00C17ED1" w:rsidP="00C17ED1"/>
    <w:p w:rsidR="00C17ED1" w:rsidRPr="00C17ED1" w:rsidRDefault="00C17ED1" w:rsidP="00C17ED1"/>
    <w:p w:rsidR="00C17ED1" w:rsidRDefault="00C17ED1" w:rsidP="00C17ED1"/>
    <w:p w:rsidR="00C17ED1" w:rsidRDefault="00C17ED1">
      <w:pPr>
        <w:spacing w:after="200" w:line="276" w:lineRule="auto"/>
        <w:jc w:val="left"/>
      </w:pPr>
      <w:r>
        <w:br w:type="page"/>
      </w:r>
    </w:p>
    <w:p w:rsidR="00C17ED1" w:rsidRDefault="00C17ED1" w:rsidP="00C17ED1">
      <w:r>
        <w:lastRenderedPageBreak/>
        <w:t>„Osnove ekonomije“</w:t>
      </w:r>
    </w:p>
    <w:p w:rsidR="00C17ED1" w:rsidRDefault="00C17ED1">
      <w:pPr>
        <w:spacing w:after="200" w:line="276" w:lineRule="auto"/>
        <w:jc w:val="left"/>
      </w:pPr>
      <w:r>
        <w:br w:type="page"/>
      </w:r>
    </w:p>
    <w:p w:rsidR="00C17ED1" w:rsidRDefault="00C17ED1" w:rsidP="00C17ED1">
      <w:r>
        <w:lastRenderedPageBreak/>
        <w:t>„Poslovne komunikacija“</w:t>
      </w:r>
    </w:p>
    <w:p w:rsidR="00221DD6" w:rsidRPr="008C794C" w:rsidRDefault="00221DD6" w:rsidP="00221DD6">
      <w:pPr>
        <w:autoSpaceDE w:val="0"/>
        <w:autoSpaceDN w:val="0"/>
        <w:adjustRightInd w:val="0"/>
        <w:spacing w:line="240" w:lineRule="auto"/>
        <w:jc w:val="left"/>
      </w:pPr>
      <w:r w:rsidRPr="008C794C">
        <w:rPr>
          <w:rFonts w:hint="eastAsia"/>
        </w:rPr>
        <w:t>„</w:t>
      </w:r>
      <w:r>
        <w:t xml:space="preserve">Proces komuniciranja </w:t>
      </w:r>
      <w:r w:rsidRPr="008C794C">
        <w:t>sastoji se od slanja poruka odre</w:t>
      </w:r>
      <w:r w:rsidRPr="008C794C">
        <w:rPr>
          <w:rFonts w:hint="eastAsia"/>
        </w:rPr>
        <w:t>đ</w:t>
      </w:r>
      <w:r w:rsidRPr="008C794C">
        <w:t xml:space="preserve">enim </w:t>
      </w:r>
      <w:r>
        <w:t xml:space="preserve">kanalom da bi se dobio povratni </w:t>
      </w:r>
      <w:r w:rsidRPr="008C794C">
        <w:t xml:space="preserve">odgovor (interakcija; </w:t>
      </w:r>
      <w:proofErr w:type="spellStart"/>
      <w:r w:rsidRPr="008C794C">
        <w:t>feedback</w:t>
      </w:r>
      <w:proofErr w:type="spellEnd"/>
      <w:r w:rsidRPr="008C794C">
        <w:t>)</w:t>
      </w:r>
      <w:r>
        <w:rPr>
          <w:rStyle w:val="FootnoteReference"/>
        </w:rPr>
        <w:footnoteReference w:id="1"/>
      </w:r>
      <w:r w:rsidRPr="008C794C">
        <w:rPr>
          <w:rFonts w:hint="eastAsia"/>
        </w:rPr>
        <w:t>“</w:t>
      </w:r>
      <w:r w:rsidRPr="008C794C">
        <w:t>.</w:t>
      </w:r>
    </w:p>
    <w:p w:rsidR="00C17ED1" w:rsidRDefault="00C17ED1">
      <w:pPr>
        <w:spacing w:after="200" w:line="276" w:lineRule="auto"/>
        <w:jc w:val="left"/>
      </w:pPr>
      <w:r>
        <w:br w:type="page"/>
      </w:r>
    </w:p>
    <w:p w:rsidR="00C17ED1" w:rsidRDefault="00C17ED1" w:rsidP="00C17ED1">
      <w:r>
        <w:lastRenderedPageBreak/>
        <w:t>„Računovodstvo“</w:t>
      </w:r>
    </w:p>
    <w:p w:rsidR="00C17ED1" w:rsidRDefault="00C17ED1">
      <w:pPr>
        <w:spacing w:after="200" w:line="276" w:lineRule="auto"/>
        <w:jc w:val="left"/>
      </w:pPr>
      <w:r>
        <w:br w:type="page"/>
      </w:r>
    </w:p>
    <w:p w:rsidR="00C17ED1" w:rsidRDefault="00C17ED1" w:rsidP="00C17ED1">
      <w:r>
        <w:lastRenderedPageBreak/>
        <w:t>„Poduzetništvo“</w:t>
      </w:r>
    </w:p>
    <w:p w:rsidR="00C17ED1" w:rsidRDefault="00C17ED1">
      <w:pPr>
        <w:spacing w:after="200" w:line="276" w:lineRule="auto"/>
        <w:jc w:val="left"/>
      </w:pPr>
      <w:r>
        <w:br w:type="page"/>
      </w:r>
    </w:p>
    <w:p w:rsidR="00C17ED1" w:rsidRPr="00C17ED1" w:rsidRDefault="00C17ED1" w:rsidP="00C17ED1">
      <w:r>
        <w:lastRenderedPageBreak/>
        <w:t>„Informatika“</w:t>
      </w:r>
    </w:p>
    <w:sectPr w:rsidR="00C17ED1" w:rsidRPr="00C17ED1" w:rsidSect="00C17ED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1BF" w:rsidRDefault="00B251BF" w:rsidP="00C17ED1">
      <w:pPr>
        <w:spacing w:line="240" w:lineRule="auto"/>
      </w:pPr>
      <w:r>
        <w:separator/>
      </w:r>
    </w:p>
  </w:endnote>
  <w:endnote w:type="continuationSeparator" w:id="0">
    <w:p w:rsidR="00B251BF" w:rsidRDefault="00B251BF" w:rsidP="00C17E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1BF" w:rsidRDefault="00B251BF" w:rsidP="00C17ED1">
      <w:pPr>
        <w:spacing w:line="240" w:lineRule="auto"/>
      </w:pPr>
      <w:r>
        <w:separator/>
      </w:r>
    </w:p>
  </w:footnote>
  <w:footnote w:type="continuationSeparator" w:id="0">
    <w:p w:rsidR="00B251BF" w:rsidRDefault="00B251BF" w:rsidP="00C17ED1">
      <w:pPr>
        <w:spacing w:line="240" w:lineRule="auto"/>
      </w:pPr>
      <w:r>
        <w:continuationSeparator/>
      </w:r>
    </w:p>
  </w:footnote>
  <w:footnote w:id="1">
    <w:p w:rsidR="00221DD6" w:rsidRPr="008C794C" w:rsidRDefault="00221DD6" w:rsidP="00221DD6">
      <w:pPr>
        <w:autoSpaceDE w:val="0"/>
        <w:autoSpaceDN w:val="0"/>
        <w:adjustRightInd w:val="0"/>
        <w:spacing w:line="240" w:lineRule="auto"/>
        <w:jc w:val="left"/>
      </w:pPr>
      <w:r>
        <w:rPr>
          <w:rStyle w:val="FootnoteReference"/>
        </w:rPr>
        <w:footnoteRef/>
      </w:r>
      <w:r>
        <w:t xml:space="preserve"> </w:t>
      </w:r>
      <w:r w:rsidRPr="008C794C">
        <w:rPr>
          <w:rFonts w:hint="eastAsia"/>
        </w:rPr>
        <w:t>„</w:t>
      </w:r>
      <w:r w:rsidRPr="008C794C">
        <w:t>Izvor: Antun Kliment, Olivera Jurkovi</w:t>
      </w:r>
      <w:r w:rsidRPr="008C794C">
        <w:rPr>
          <w:rFonts w:hint="eastAsia"/>
        </w:rPr>
        <w:t>ć</w:t>
      </w:r>
      <w:r>
        <w:t>-</w:t>
      </w:r>
      <w:bookmarkStart w:id="0" w:name="_GoBack"/>
      <w:bookmarkEnd w:id="0"/>
      <w:r w:rsidRPr="008C794C">
        <w:t>Maji</w:t>
      </w:r>
      <w:r w:rsidRPr="008C794C">
        <w:rPr>
          <w:rFonts w:hint="eastAsia"/>
        </w:rPr>
        <w:t>ć</w:t>
      </w:r>
      <w:r w:rsidRPr="008C794C">
        <w:t xml:space="preserve">: Poslovne komunikacije, </w:t>
      </w:r>
      <w:r w:rsidRPr="008C794C">
        <w:rPr>
          <w:rFonts w:hint="eastAsia"/>
        </w:rPr>
        <w:t>Š</w:t>
      </w:r>
      <w:r w:rsidRPr="008C794C">
        <w:t>kolska knjiga, Zagreb, 2006.</w:t>
      </w:r>
      <w:r w:rsidRPr="008C794C">
        <w:rPr>
          <w:rFonts w:hint="eastAsia"/>
        </w:rPr>
        <w:t>“</w:t>
      </w:r>
    </w:p>
    <w:p w:rsidR="00221DD6" w:rsidRDefault="00221DD6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ED1" w:rsidRDefault="00C17ED1">
    <w:pPr>
      <w:pStyle w:val="Header"/>
    </w:pPr>
    <w:r>
      <w:t>Franjo Borović „Ekonomija“</w:t>
    </w:r>
  </w:p>
  <w:p w:rsidR="00C17ED1" w:rsidRDefault="00C17E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21DD6"/>
    <w:rsid w:val="002E4497"/>
    <w:rsid w:val="00422DB8"/>
    <w:rsid w:val="005806EC"/>
    <w:rsid w:val="006351C3"/>
    <w:rsid w:val="00651A84"/>
    <w:rsid w:val="00AC6416"/>
    <w:rsid w:val="00B251BF"/>
    <w:rsid w:val="00C17ED1"/>
    <w:rsid w:val="00C7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7ED1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ED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C17ED1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ED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E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ED1"/>
    <w:rPr>
      <w:rFonts w:ascii="Tahoma" w:eastAsia="Times New Roman" w:hAnsi="Tahoma" w:cs="Tahoma"/>
      <w:sz w:val="16"/>
      <w:szCs w:val="1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21DD6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1DD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221D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7ED1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ED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C17ED1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ED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E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ED1"/>
    <w:rPr>
      <w:rFonts w:ascii="Tahoma" w:eastAsia="Times New Roman" w:hAnsi="Tahoma" w:cs="Tahoma"/>
      <w:sz w:val="16"/>
      <w:szCs w:val="1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21DD6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1DD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221D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90EE3-9E7B-40ED-AFCF-EE8982750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2</cp:revision>
  <dcterms:created xsi:type="dcterms:W3CDTF">2012-08-05T10:42:00Z</dcterms:created>
  <dcterms:modified xsi:type="dcterms:W3CDTF">2012-08-05T10:42:00Z</dcterms:modified>
</cp:coreProperties>
</file>